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001512" w:rsidP="00462A57">
                            <w:pPr>
                              <w:jc w:val="center"/>
                              <w:rPr>
                                <w:b/>
                                <w:sz w:val="44"/>
                              </w:rPr>
                            </w:pPr>
                            <w:r>
                              <w:rPr>
                                <w:b/>
                                <w:sz w:val="44"/>
                              </w:rPr>
                              <w:t xml:space="preserve">Graisse </w:t>
                            </w:r>
                            <w:r w:rsidR="00F367C9">
                              <w:rPr>
                                <w:b/>
                                <w:sz w:val="44"/>
                              </w:rPr>
                              <w:t>verte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001512" w:rsidP="00462A57">
                      <w:pPr>
                        <w:jc w:val="center"/>
                        <w:rPr>
                          <w:b/>
                          <w:sz w:val="44"/>
                        </w:rPr>
                      </w:pPr>
                      <w:r>
                        <w:rPr>
                          <w:b/>
                          <w:sz w:val="44"/>
                        </w:rPr>
                        <w:t xml:space="preserve">Graisse </w:t>
                      </w:r>
                      <w:r w:rsidR="00F367C9">
                        <w:rPr>
                          <w:b/>
                          <w:sz w:val="44"/>
                        </w:rPr>
                        <w:t>verte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F367C9" w:rsidRDefault="00F367C9" w:rsidP="00F367C9">
      <w:r>
        <w:t>Graisse technique marine répondant à la norme MARINE STM 7420B</w:t>
      </w:r>
    </w:p>
    <w:p w:rsidR="00F367C9" w:rsidRDefault="00F367C9" w:rsidP="00F367C9">
      <w:r>
        <w:t>Prévue pour des usages mécaniques intensifs entre -20°c et 1</w:t>
      </w:r>
      <w:r>
        <w:t xml:space="preserve">25°c en extérieur et intérieur. </w:t>
      </w:r>
      <w:r>
        <w:t>Insoluble à  l'eau permetta</w:t>
      </w:r>
      <w:r>
        <w:t xml:space="preserve">nt une protection longue durée. </w:t>
      </w:r>
      <w:r>
        <w:t>Forte adhérence et résistance</w:t>
      </w:r>
      <w:r>
        <w:t xml:space="preserve"> élevée aux </w:t>
      </w:r>
      <w:r w:rsidR="00483A00">
        <w:t>pressions extrêmes</w:t>
      </w:r>
      <w:r>
        <w:t xml:space="preserve">. </w:t>
      </w:r>
      <w:r>
        <w:t>Conviendra pour les roulements, câbles, engrena</w:t>
      </w:r>
      <w:r>
        <w:t>ges, axes...</w:t>
      </w:r>
      <w:r w:rsidR="00483A00">
        <w:t>Elle l</w:t>
      </w:r>
      <w:r>
        <w:t>imite</w:t>
      </w:r>
      <w:r w:rsidR="00483A00">
        <w:t xml:space="preserve"> également</w:t>
      </w:r>
      <w:r>
        <w:t xml:space="preserve"> l'usure grâce à ses agents </w:t>
      </w:r>
      <w:proofErr w:type="spellStart"/>
      <w:r>
        <w:t>anti-frictions</w:t>
      </w:r>
      <w:proofErr w:type="spellEnd"/>
    </w:p>
    <w:p w:rsidR="0061789E" w:rsidRPr="00462A57" w:rsidRDefault="00462A57" w:rsidP="00001512">
      <w:pPr>
        <w:jc w:val="center"/>
        <w:rPr>
          <w:b/>
          <w:sz w:val="32"/>
        </w:rPr>
      </w:pPr>
      <w:r>
        <w:rPr>
          <w:b/>
          <w:sz w:val="32"/>
        </w:rPr>
        <w:t>Application</w:t>
      </w:r>
    </w:p>
    <w:p w:rsidR="00483A00" w:rsidRDefault="00483A00" w:rsidP="00483A00">
      <w:pPr>
        <w:pStyle w:val="Paragraphedeliste"/>
        <w:numPr>
          <w:ilvl w:val="0"/>
          <w:numId w:val="7"/>
        </w:numPr>
      </w:pPr>
      <w:r>
        <w:t>Graisse type marine</w:t>
      </w:r>
    </w:p>
    <w:p w:rsidR="00483A00" w:rsidRDefault="00483A00" w:rsidP="00483A00">
      <w:pPr>
        <w:pStyle w:val="Paragraphedeliste"/>
        <w:numPr>
          <w:ilvl w:val="0"/>
          <w:numId w:val="7"/>
        </w:numPr>
      </w:pPr>
      <w:r>
        <w:t>Excellente adhérence</w:t>
      </w:r>
    </w:p>
    <w:p w:rsidR="00483A00" w:rsidRDefault="00483A00" w:rsidP="00483A00">
      <w:pPr>
        <w:pStyle w:val="Paragraphedeliste"/>
        <w:numPr>
          <w:ilvl w:val="0"/>
          <w:numId w:val="7"/>
        </w:numPr>
      </w:pPr>
      <w:r>
        <w:t xml:space="preserve">Anti-usure et </w:t>
      </w:r>
      <w:proofErr w:type="spellStart"/>
      <w:r>
        <w:t>anti-corrosion</w:t>
      </w:r>
      <w:proofErr w:type="spellEnd"/>
    </w:p>
    <w:p w:rsidR="00483A00" w:rsidRDefault="00483A00" w:rsidP="00483A00">
      <w:pPr>
        <w:pStyle w:val="Paragraphedeliste"/>
        <w:numPr>
          <w:ilvl w:val="0"/>
          <w:numId w:val="7"/>
        </w:numPr>
      </w:pPr>
      <w:r>
        <w:t>Tous mécanismes</w:t>
      </w:r>
    </w:p>
    <w:p w:rsidR="00462A57" w:rsidRPr="00462A57" w:rsidRDefault="0061789E" w:rsidP="00483A00">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483A00" w:rsidRDefault="00483A00" w:rsidP="00483A00">
      <w:pPr>
        <w:pStyle w:val="Paragraphedeliste"/>
        <w:numPr>
          <w:ilvl w:val="0"/>
          <w:numId w:val="9"/>
        </w:numPr>
      </w:pPr>
      <w:r>
        <w:t>Couleur verte</w:t>
      </w:r>
    </w:p>
    <w:p w:rsidR="00483A00" w:rsidRDefault="00483A00" w:rsidP="00483A00">
      <w:pPr>
        <w:pStyle w:val="Paragraphedeliste"/>
        <w:numPr>
          <w:ilvl w:val="0"/>
          <w:numId w:val="9"/>
        </w:numPr>
      </w:pPr>
      <w:r>
        <w:t>Aspect lisse, légèrement filant</w:t>
      </w:r>
    </w:p>
    <w:p w:rsidR="00483A00" w:rsidRDefault="00483A00" w:rsidP="00483A00">
      <w:pPr>
        <w:pStyle w:val="Paragraphedeliste"/>
        <w:numPr>
          <w:ilvl w:val="0"/>
          <w:numId w:val="9"/>
        </w:numPr>
      </w:pPr>
      <w:r>
        <w:t>Point de</w:t>
      </w:r>
      <w:r>
        <w:t xml:space="preserve"> goutte &gt;= 140° C</w:t>
      </w:r>
    </w:p>
    <w:p w:rsidR="00483A00" w:rsidRDefault="00483A00" w:rsidP="00483A00">
      <w:pPr>
        <w:pStyle w:val="Paragraphedeliste"/>
        <w:numPr>
          <w:ilvl w:val="0"/>
          <w:numId w:val="9"/>
        </w:numPr>
      </w:pPr>
      <w:r>
        <w:t>Température</w:t>
      </w:r>
      <w:r>
        <w:t xml:space="preserve"> </w:t>
      </w:r>
      <w:bookmarkStart w:id="0" w:name="_GoBack"/>
      <w:bookmarkEnd w:id="0"/>
      <w:r>
        <w:t>d’utilisation-20°C à +125° C</w:t>
      </w:r>
    </w:p>
    <w:p w:rsidR="00483A00" w:rsidRDefault="00483A00" w:rsidP="00483A00">
      <w:pPr>
        <w:pStyle w:val="Paragraphedeliste"/>
        <w:numPr>
          <w:ilvl w:val="0"/>
          <w:numId w:val="9"/>
        </w:numPr>
      </w:pPr>
      <w:r>
        <w:t>Grade NLGI :</w:t>
      </w:r>
      <w:r>
        <w:t xml:space="preserve"> </w:t>
      </w:r>
      <w:r>
        <w:t>2 (285 / 310)</w:t>
      </w:r>
    </w:p>
    <w:p w:rsidR="00483A00" w:rsidRDefault="00483A00" w:rsidP="00483A00">
      <w:pPr>
        <w:pStyle w:val="Paragraphedeliste"/>
        <w:numPr>
          <w:ilvl w:val="0"/>
          <w:numId w:val="9"/>
        </w:numPr>
      </w:pPr>
      <w:r>
        <w:t>Test corrosion lame de cuivre 24h à 100°C (ASTM D4048) :</w:t>
      </w:r>
      <w:r>
        <w:t xml:space="preserve"> 1a</w:t>
      </w:r>
    </w:p>
    <w:p w:rsidR="00483A00" w:rsidRDefault="00483A00" w:rsidP="00483A00">
      <w:pPr>
        <w:pStyle w:val="Paragraphedeliste"/>
        <w:numPr>
          <w:ilvl w:val="0"/>
          <w:numId w:val="9"/>
        </w:numPr>
      </w:pPr>
      <w:r>
        <w:t>Gaz propulseur ininflammable</w:t>
      </w:r>
    </w:p>
    <w:p w:rsidR="00483A00" w:rsidRDefault="00483A00" w:rsidP="00483A00">
      <w:pPr>
        <w:pStyle w:val="Paragraphedeliste"/>
        <w:numPr>
          <w:ilvl w:val="0"/>
          <w:numId w:val="9"/>
        </w:numPr>
      </w:pPr>
      <w:r>
        <w:t>Volume net : 97% de matière active utilisable</w:t>
      </w:r>
    </w:p>
    <w:p w:rsidR="0061789E" w:rsidRPr="00462A57" w:rsidRDefault="0061789E" w:rsidP="00483A00">
      <w:pPr>
        <w:jc w:val="center"/>
        <w:rPr>
          <w:b/>
          <w:sz w:val="32"/>
        </w:rPr>
      </w:pPr>
      <w:r w:rsidRPr="00462A57">
        <w:rPr>
          <w:b/>
          <w:sz w:val="32"/>
        </w:rPr>
        <w:t>Mode d’emploi</w:t>
      </w:r>
    </w:p>
    <w:p w:rsidR="00483A00" w:rsidRDefault="00483A00" w:rsidP="00483A00">
      <w:pPr>
        <w:pStyle w:val="Paragraphedeliste"/>
        <w:numPr>
          <w:ilvl w:val="0"/>
          <w:numId w:val="3"/>
        </w:numPr>
      </w:pPr>
      <w:r>
        <w:t>Agiter l’aérosol avant emploi. Pulvériser sur les surfaces à graisser.</w:t>
      </w:r>
    </w:p>
    <w:p w:rsidR="0061789E" w:rsidRDefault="00483A00" w:rsidP="00483A00">
      <w:pPr>
        <w:pStyle w:val="Paragraphedeliste"/>
        <w:numPr>
          <w:ilvl w:val="0"/>
          <w:numId w:val="3"/>
        </w:numPr>
      </w:pPr>
      <w:r>
        <w:t>Attendre quelques minutes avant la mise en service.</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59" w:rsidRDefault="00FE3859" w:rsidP="0061789E">
      <w:pPr>
        <w:spacing w:after="0" w:line="240" w:lineRule="auto"/>
      </w:pPr>
      <w:r>
        <w:separator/>
      </w:r>
    </w:p>
  </w:endnote>
  <w:endnote w:type="continuationSeparator" w:id="0">
    <w:p w:rsidR="00FE3859" w:rsidRDefault="00FE3859"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59" w:rsidRDefault="00FE3859" w:rsidP="0061789E">
      <w:pPr>
        <w:spacing w:after="0" w:line="240" w:lineRule="auto"/>
      </w:pPr>
      <w:r>
        <w:separator/>
      </w:r>
    </w:p>
  </w:footnote>
  <w:footnote w:type="continuationSeparator" w:id="0">
    <w:p w:rsidR="00FE3859" w:rsidRDefault="00FE3859"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001512">
      <w:t xml:space="preserve">Graisse </w:t>
    </w:r>
    <w:r w:rsidR="00F367C9">
      <w:t>verte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4"/>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462A57"/>
    <w:rsid w:val="00483A00"/>
    <w:rsid w:val="004D6E2A"/>
    <w:rsid w:val="00510EC2"/>
    <w:rsid w:val="00544B4D"/>
    <w:rsid w:val="0061789E"/>
    <w:rsid w:val="0079325A"/>
    <w:rsid w:val="0081608F"/>
    <w:rsid w:val="00964BF7"/>
    <w:rsid w:val="009C2B9E"/>
    <w:rsid w:val="00B72806"/>
    <w:rsid w:val="00BD7D28"/>
    <w:rsid w:val="00C27466"/>
    <w:rsid w:val="00EC308C"/>
    <w:rsid w:val="00F367C9"/>
    <w:rsid w:val="00FA4F5A"/>
    <w:rsid w:val="00FE3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B69A-56BB-48AE-BC75-2C299E3B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984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2018-11-21T09:47:00Z</dcterms:created>
  <dcterms:modified xsi:type="dcterms:W3CDTF">2018-11-21T09:52:00Z</dcterms:modified>
</cp:coreProperties>
</file>