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A752B8" w:rsidP="00462A57">
                            <w:pPr>
                              <w:jc w:val="center"/>
                              <w:rPr>
                                <w:b/>
                                <w:sz w:val="44"/>
                              </w:rPr>
                            </w:pPr>
                            <w:r>
                              <w:rPr>
                                <w:b/>
                                <w:sz w:val="44"/>
                              </w:rPr>
                              <w:t>Multifonctions BT-24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A752B8" w:rsidP="00462A57">
                      <w:pPr>
                        <w:jc w:val="center"/>
                        <w:rPr>
                          <w:b/>
                          <w:sz w:val="44"/>
                        </w:rPr>
                      </w:pPr>
                      <w:r>
                        <w:rPr>
                          <w:b/>
                          <w:sz w:val="44"/>
                        </w:rPr>
                        <w:t>Multifonctions BT-24</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A752B8" w:rsidRDefault="00A752B8" w:rsidP="00A752B8">
      <w:r>
        <w:t>BT-24 est le multifonction universel qui vous rendra service dans toutes les situations.</w:t>
      </w:r>
    </w:p>
    <w:p w:rsidR="00A752B8" w:rsidRDefault="00A752B8" w:rsidP="00A752B8">
      <w:r>
        <w:t>Il dégrippe, débloque et lubrifie rapidement grâce à son fort pouvoir pénétrant et à ses qualité</w:t>
      </w:r>
      <w:r>
        <w:t xml:space="preserve">s lubrifiantes exceptionnelles. </w:t>
      </w:r>
      <w:r>
        <w:t>Il nettoie les rési</w:t>
      </w:r>
      <w:r>
        <w:t xml:space="preserve">dus de graisse, huile, goudron. </w:t>
      </w:r>
      <w:r>
        <w:t>Il laisse un film de protection anticorrosion d</w:t>
      </w:r>
      <w:r>
        <w:t xml:space="preserve">urable pour éviter l'oxydation. </w:t>
      </w:r>
      <w:r>
        <w:t>Il disperse l'humidité da</w:t>
      </w:r>
      <w:r>
        <w:t>ns les composants électroniques.</w:t>
      </w:r>
    </w:p>
    <w:p w:rsidR="0061789E" w:rsidRPr="00462A57" w:rsidRDefault="00462A57" w:rsidP="00992632">
      <w:pPr>
        <w:jc w:val="center"/>
        <w:rPr>
          <w:b/>
          <w:sz w:val="32"/>
        </w:rPr>
      </w:pPr>
      <w:r>
        <w:rPr>
          <w:b/>
          <w:sz w:val="32"/>
        </w:rPr>
        <w:t>Application</w:t>
      </w:r>
    </w:p>
    <w:p w:rsidR="00A752B8" w:rsidRDefault="00A752B8" w:rsidP="00A752B8">
      <w:pPr>
        <w:pStyle w:val="Paragraphedeliste"/>
        <w:numPr>
          <w:ilvl w:val="0"/>
          <w:numId w:val="21"/>
        </w:numPr>
      </w:pPr>
      <w:r>
        <w:t>Dégripp</w:t>
      </w:r>
      <w:r>
        <w:t>e</w:t>
      </w:r>
    </w:p>
    <w:p w:rsidR="00A752B8" w:rsidRDefault="00A752B8" w:rsidP="00A752B8">
      <w:pPr>
        <w:pStyle w:val="Paragraphedeliste"/>
        <w:numPr>
          <w:ilvl w:val="0"/>
          <w:numId w:val="21"/>
        </w:numPr>
      </w:pPr>
      <w:r>
        <w:t>Nettoie</w:t>
      </w:r>
    </w:p>
    <w:p w:rsidR="00A752B8" w:rsidRDefault="00A752B8" w:rsidP="00A752B8">
      <w:pPr>
        <w:pStyle w:val="Paragraphedeliste"/>
        <w:numPr>
          <w:ilvl w:val="0"/>
          <w:numId w:val="21"/>
        </w:numPr>
      </w:pPr>
      <w:r>
        <w:t>Lubrifie</w:t>
      </w:r>
    </w:p>
    <w:p w:rsidR="00A752B8" w:rsidRDefault="00A752B8" w:rsidP="00A752B8">
      <w:pPr>
        <w:pStyle w:val="Paragraphedeliste"/>
        <w:numPr>
          <w:ilvl w:val="0"/>
          <w:numId w:val="21"/>
        </w:numPr>
      </w:pPr>
      <w:r>
        <w:t>Protège</w:t>
      </w:r>
    </w:p>
    <w:p w:rsidR="00A752B8" w:rsidRDefault="00A752B8" w:rsidP="00A752B8">
      <w:pPr>
        <w:pStyle w:val="Paragraphedeliste"/>
        <w:numPr>
          <w:ilvl w:val="0"/>
          <w:numId w:val="21"/>
        </w:numPr>
      </w:pPr>
      <w:r>
        <w:t>Chasse l'humidité</w:t>
      </w:r>
    </w:p>
    <w:p w:rsidR="00462A57" w:rsidRPr="00011BF3" w:rsidRDefault="0061789E" w:rsidP="00A752B8">
      <w:pPr>
        <w:jc w:val="center"/>
        <w:rPr>
          <w:b/>
          <w:sz w:val="32"/>
        </w:rPr>
        <w:sectPr w:rsidR="00462A57" w:rsidRPr="00011BF3" w:rsidSect="0061789E">
          <w:headerReference w:type="default" r:id="rId8"/>
          <w:footerReference w:type="default" r:id="rId9"/>
          <w:type w:val="continuous"/>
          <w:pgSz w:w="11907" w:h="16838" w:code="9"/>
          <w:pgMar w:top="1418" w:right="1418" w:bottom="1418" w:left="1418" w:header="709" w:footer="709" w:gutter="0"/>
          <w:cols w:space="708"/>
          <w:docGrid w:linePitch="360"/>
        </w:sectPr>
      </w:pPr>
      <w:r w:rsidRPr="00462A57">
        <w:rPr>
          <w:b/>
          <w:sz w:val="32"/>
        </w:rPr>
        <w:t>Caractéristiques technique</w:t>
      </w:r>
    </w:p>
    <w:p w:rsidR="00A752B8" w:rsidRPr="00A752B8" w:rsidRDefault="00A752B8" w:rsidP="00A752B8">
      <w:pPr>
        <w:pStyle w:val="Paragraphedeliste"/>
        <w:numPr>
          <w:ilvl w:val="0"/>
          <w:numId w:val="20"/>
        </w:numPr>
        <w:spacing w:line="0" w:lineRule="atLeast"/>
        <w:rPr>
          <w:rFonts w:ascii="Candara" w:eastAsia="Candara" w:hAnsi="Candara"/>
          <w:sz w:val="24"/>
        </w:rPr>
      </w:pPr>
      <w:r w:rsidRPr="00A752B8">
        <w:rPr>
          <w:rFonts w:ascii="Candara" w:eastAsia="Candara" w:hAnsi="Candara"/>
          <w:sz w:val="24"/>
        </w:rPr>
        <w:t>Fluide limpide</w:t>
      </w:r>
    </w:p>
    <w:p w:rsidR="00A752B8" w:rsidRPr="00A752B8" w:rsidRDefault="00A752B8" w:rsidP="00A752B8">
      <w:pPr>
        <w:pStyle w:val="Paragraphedeliste"/>
        <w:numPr>
          <w:ilvl w:val="0"/>
          <w:numId w:val="20"/>
        </w:numPr>
        <w:spacing w:line="0" w:lineRule="atLeast"/>
        <w:rPr>
          <w:rFonts w:ascii="Candara" w:eastAsia="Candara" w:hAnsi="Candara"/>
          <w:sz w:val="24"/>
        </w:rPr>
      </w:pPr>
      <w:r w:rsidRPr="00A752B8">
        <w:rPr>
          <w:rFonts w:ascii="Candara" w:eastAsia="Candara" w:hAnsi="Candara"/>
          <w:sz w:val="24"/>
        </w:rPr>
        <w:t>Couleur : Jaune ambré</w:t>
      </w:r>
    </w:p>
    <w:p w:rsidR="00A752B8" w:rsidRPr="00A752B8" w:rsidRDefault="00A752B8" w:rsidP="00A752B8">
      <w:pPr>
        <w:pStyle w:val="Paragraphedeliste"/>
        <w:numPr>
          <w:ilvl w:val="0"/>
          <w:numId w:val="20"/>
        </w:numPr>
        <w:spacing w:line="0" w:lineRule="atLeast"/>
        <w:rPr>
          <w:rFonts w:ascii="Candara" w:eastAsia="Candara" w:hAnsi="Candara"/>
          <w:sz w:val="24"/>
        </w:rPr>
      </w:pPr>
      <w:r w:rsidRPr="00A752B8">
        <w:rPr>
          <w:rFonts w:ascii="Candara" w:eastAsia="Candara" w:hAnsi="Candara"/>
          <w:sz w:val="24"/>
        </w:rPr>
        <w:t>Odeur : Pin</w:t>
      </w:r>
    </w:p>
    <w:p w:rsidR="00A752B8" w:rsidRPr="00A752B8" w:rsidRDefault="00A752B8" w:rsidP="00A752B8">
      <w:pPr>
        <w:pStyle w:val="Paragraphedeliste"/>
        <w:numPr>
          <w:ilvl w:val="0"/>
          <w:numId w:val="20"/>
        </w:numPr>
        <w:spacing w:line="0" w:lineRule="atLeast"/>
        <w:rPr>
          <w:rFonts w:ascii="Candara" w:eastAsia="Candara" w:hAnsi="Candara"/>
          <w:sz w:val="24"/>
        </w:rPr>
      </w:pPr>
      <w:r w:rsidRPr="00A752B8">
        <w:rPr>
          <w:rFonts w:ascii="Candara" w:eastAsia="Candara" w:hAnsi="Candara"/>
          <w:sz w:val="24"/>
        </w:rPr>
        <w:t>Masse volumique à 20°C : 810 kg/m3</w:t>
      </w:r>
    </w:p>
    <w:p w:rsidR="00A752B8" w:rsidRPr="00A752B8" w:rsidRDefault="00A752B8" w:rsidP="00A752B8">
      <w:pPr>
        <w:pStyle w:val="Paragraphedeliste"/>
        <w:numPr>
          <w:ilvl w:val="0"/>
          <w:numId w:val="20"/>
        </w:numPr>
        <w:spacing w:line="0" w:lineRule="atLeast"/>
        <w:rPr>
          <w:rFonts w:ascii="Candara" w:eastAsia="Candara" w:hAnsi="Candara"/>
          <w:sz w:val="24"/>
        </w:rPr>
      </w:pPr>
      <w:r w:rsidRPr="00A752B8">
        <w:rPr>
          <w:rFonts w:ascii="Candara" w:eastAsia="Candara" w:hAnsi="Candara"/>
          <w:sz w:val="24"/>
        </w:rPr>
        <w:t>Point éclair VC : &gt; 60°C</w:t>
      </w:r>
    </w:p>
    <w:p w:rsidR="00A752B8" w:rsidRDefault="00A752B8" w:rsidP="00A752B8">
      <w:pPr>
        <w:pStyle w:val="Paragraphedeliste"/>
        <w:numPr>
          <w:ilvl w:val="0"/>
          <w:numId w:val="20"/>
        </w:numPr>
        <w:spacing w:line="0" w:lineRule="atLeast"/>
        <w:rPr>
          <w:rFonts w:ascii="Candara" w:eastAsia="Candara" w:hAnsi="Candara"/>
          <w:sz w:val="24"/>
        </w:rPr>
      </w:pPr>
      <w:r w:rsidRPr="00A752B8">
        <w:rPr>
          <w:rFonts w:ascii="Candara" w:eastAsia="Candara" w:hAnsi="Candara"/>
          <w:sz w:val="24"/>
        </w:rPr>
        <w:t>Gaz propulseur ininflammable inerte Volume net : 97% de matière active utilisable</w:t>
      </w:r>
    </w:p>
    <w:p w:rsidR="00A752B8" w:rsidRDefault="00A752B8" w:rsidP="00A752B8">
      <w:pPr>
        <w:pStyle w:val="Paragraphedeliste"/>
        <w:numPr>
          <w:ilvl w:val="0"/>
          <w:numId w:val="20"/>
        </w:numPr>
        <w:spacing w:line="0" w:lineRule="atLeast"/>
        <w:rPr>
          <w:rFonts w:ascii="Candara" w:eastAsia="Candara" w:hAnsi="Candara"/>
          <w:sz w:val="24"/>
        </w:rPr>
      </w:pPr>
      <w:r w:rsidRPr="00A752B8">
        <w:rPr>
          <w:rFonts w:ascii="Candara" w:eastAsia="Candara" w:hAnsi="Candara"/>
          <w:sz w:val="24"/>
        </w:rPr>
        <w:t xml:space="preserve">Aérosol muni d’une valve 360° permettant une </w:t>
      </w:r>
      <w:r>
        <w:rPr>
          <w:rFonts w:ascii="Candara" w:eastAsia="Candara" w:hAnsi="Candara"/>
          <w:sz w:val="24"/>
        </w:rPr>
        <w:t>utilisation en toutes positions</w:t>
      </w:r>
      <w:bookmarkStart w:id="0" w:name="_GoBack"/>
      <w:bookmarkEnd w:id="0"/>
    </w:p>
    <w:p w:rsidR="0061789E" w:rsidRPr="00462A57" w:rsidRDefault="0061789E" w:rsidP="00D751C2">
      <w:pPr>
        <w:jc w:val="center"/>
        <w:rPr>
          <w:b/>
          <w:sz w:val="32"/>
        </w:rPr>
      </w:pPr>
      <w:r w:rsidRPr="00462A57">
        <w:rPr>
          <w:b/>
          <w:sz w:val="32"/>
        </w:rPr>
        <w:t>Mode d’emploi</w:t>
      </w:r>
    </w:p>
    <w:p w:rsidR="00A752B8" w:rsidRDefault="00A752B8" w:rsidP="00A752B8">
      <w:pPr>
        <w:pStyle w:val="Paragraphedeliste"/>
        <w:numPr>
          <w:ilvl w:val="0"/>
          <w:numId w:val="3"/>
        </w:numPr>
      </w:pPr>
      <w:r>
        <w:t>Agiter l’aérosol, puis pulvériser sur les organes à dégripper.</w:t>
      </w:r>
    </w:p>
    <w:p w:rsidR="00A752B8" w:rsidRDefault="00A752B8" w:rsidP="00A752B8">
      <w:pPr>
        <w:pStyle w:val="Paragraphedeliste"/>
        <w:numPr>
          <w:ilvl w:val="0"/>
          <w:numId w:val="3"/>
        </w:numPr>
      </w:pPr>
      <w:r>
        <w:t>Laisser agir quelques minutes.</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A752B8">
            <w:r>
              <w:t xml:space="preserve">Gaz propulseur : </w:t>
            </w:r>
            <w:r w:rsidR="00A752B8">
              <w:t>Azote</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8CC" w:rsidRDefault="00DC28CC" w:rsidP="0061789E">
      <w:pPr>
        <w:spacing w:after="0" w:line="240" w:lineRule="auto"/>
      </w:pPr>
      <w:r>
        <w:separator/>
      </w:r>
    </w:p>
  </w:endnote>
  <w:endnote w:type="continuationSeparator" w:id="0">
    <w:p w:rsidR="00DC28CC" w:rsidRDefault="00DC28CC"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8CC" w:rsidRDefault="00DC28CC" w:rsidP="0061789E">
      <w:pPr>
        <w:spacing w:after="0" w:line="240" w:lineRule="auto"/>
      </w:pPr>
      <w:r>
        <w:separator/>
      </w:r>
    </w:p>
  </w:footnote>
  <w:footnote w:type="continuationSeparator" w:id="0">
    <w:p w:rsidR="00DC28CC" w:rsidRDefault="00DC28CC"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A752B8">
      <w:t>BT24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71F77"/>
    <w:multiLevelType w:val="hybridMultilevel"/>
    <w:tmpl w:val="B214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E82494"/>
    <w:multiLevelType w:val="hybridMultilevel"/>
    <w:tmpl w:val="EF60E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410DE"/>
    <w:multiLevelType w:val="hybridMultilevel"/>
    <w:tmpl w:val="6F0C8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2B5E4E"/>
    <w:multiLevelType w:val="hybridMultilevel"/>
    <w:tmpl w:val="290E6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90B32"/>
    <w:multiLevelType w:val="hybridMultilevel"/>
    <w:tmpl w:val="82C8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92002"/>
    <w:multiLevelType w:val="hybridMultilevel"/>
    <w:tmpl w:val="46E41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110828"/>
    <w:multiLevelType w:val="hybridMultilevel"/>
    <w:tmpl w:val="28E2C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3938DE"/>
    <w:multiLevelType w:val="hybridMultilevel"/>
    <w:tmpl w:val="AF7A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20"/>
  </w:num>
  <w:num w:numId="4">
    <w:abstractNumId w:val="19"/>
  </w:num>
  <w:num w:numId="5">
    <w:abstractNumId w:val="6"/>
  </w:num>
  <w:num w:numId="6">
    <w:abstractNumId w:val="14"/>
  </w:num>
  <w:num w:numId="7">
    <w:abstractNumId w:val="16"/>
  </w:num>
  <w:num w:numId="8">
    <w:abstractNumId w:val="0"/>
  </w:num>
  <w:num w:numId="9">
    <w:abstractNumId w:val="4"/>
  </w:num>
  <w:num w:numId="10">
    <w:abstractNumId w:val="2"/>
  </w:num>
  <w:num w:numId="11">
    <w:abstractNumId w:val="15"/>
  </w:num>
  <w:num w:numId="12">
    <w:abstractNumId w:val="13"/>
  </w:num>
  <w:num w:numId="13">
    <w:abstractNumId w:val="1"/>
  </w:num>
  <w:num w:numId="14">
    <w:abstractNumId w:val="9"/>
  </w:num>
  <w:num w:numId="15">
    <w:abstractNumId w:val="11"/>
  </w:num>
  <w:num w:numId="16">
    <w:abstractNumId w:val="10"/>
  </w:num>
  <w:num w:numId="17">
    <w:abstractNumId w:val="17"/>
  </w:num>
  <w:num w:numId="18">
    <w:abstractNumId w:val="8"/>
  </w:num>
  <w:num w:numId="19">
    <w:abstractNumId w:val="1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1BF3"/>
    <w:rsid w:val="00013A91"/>
    <w:rsid w:val="00031A41"/>
    <w:rsid w:val="000573C0"/>
    <w:rsid w:val="001C10A9"/>
    <w:rsid w:val="001D2AA2"/>
    <w:rsid w:val="00356900"/>
    <w:rsid w:val="003F7870"/>
    <w:rsid w:val="00462A57"/>
    <w:rsid w:val="00483A00"/>
    <w:rsid w:val="004D6E2A"/>
    <w:rsid w:val="00510EC2"/>
    <w:rsid w:val="00544B4D"/>
    <w:rsid w:val="0061789E"/>
    <w:rsid w:val="006301C4"/>
    <w:rsid w:val="006854B1"/>
    <w:rsid w:val="00716A0D"/>
    <w:rsid w:val="0079325A"/>
    <w:rsid w:val="00813F18"/>
    <w:rsid w:val="0081608F"/>
    <w:rsid w:val="00890745"/>
    <w:rsid w:val="008A725B"/>
    <w:rsid w:val="00911296"/>
    <w:rsid w:val="00960987"/>
    <w:rsid w:val="00964BF7"/>
    <w:rsid w:val="00992632"/>
    <w:rsid w:val="009C2B9E"/>
    <w:rsid w:val="00A752B8"/>
    <w:rsid w:val="00B72806"/>
    <w:rsid w:val="00BD7D28"/>
    <w:rsid w:val="00C15050"/>
    <w:rsid w:val="00C21946"/>
    <w:rsid w:val="00C27466"/>
    <w:rsid w:val="00CF2EA3"/>
    <w:rsid w:val="00D44C9C"/>
    <w:rsid w:val="00D751C2"/>
    <w:rsid w:val="00DC28CC"/>
    <w:rsid w:val="00DE052F"/>
    <w:rsid w:val="00E64D41"/>
    <w:rsid w:val="00E92F39"/>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6B7D-D4C2-4E21-AF15-7B28DDCF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2018-11-21T10:35:00Z</dcterms:created>
  <dcterms:modified xsi:type="dcterms:W3CDTF">2018-11-21T10:38:00Z</dcterms:modified>
</cp:coreProperties>
</file>