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B27A72" w:rsidRDefault="002C5682" w:rsidP="00C050F2">
                            <w:pPr>
                              <w:jc w:val="center"/>
                            </w:pPr>
                            <w:r w:rsidRPr="002C5682">
                              <w:rPr>
                                <w:b/>
                                <w:sz w:val="44"/>
                              </w:rPr>
                              <w:t>75W80 GL4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B27A72" w:rsidRDefault="002C5682" w:rsidP="00C050F2">
                      <w:pPr>
                        <w:jc w:val="center"/>
                      </w:pPr>
                      <w:bookmarkStart w:id="1" w:name="_GoBack"/>
                      <w:r w:rsidRPr="002C5682">
                        <w:rPr>
                          <w:b/>
                          <w:sz w:val="44"/>
                        </w:rPr>
                        <w:t>75W80 GL4</w:t>
                      </w:r>
                      <w:bookmarkEnd w:id="1"/>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61789E" w:rsidRDefault="0061789E" w:rsidP="00A11E5B">
      <w:pPr>
        <w:spacing w:after="0"/>
        <w:rPr>
          <w:b/>
          <w:sz w:val="32"/>
        </w:rPr>
      </w:pPr>
      <w:r w:rsidRPr="00462A57">
        <w:rPr>
          <w:b/>
          <w:sz w:val="32"/>
        </w:rPr>
        <w:t>D</w:t>
      </w:r>
      <w:r w:rsidR="00462A57" w:rsidRPr="00462A57">
        <w:rPr>
          <w:b/>
          <w:sz w:val="32"/>
        </w:rPr>
        <w:t>escription</w:t>
      </w:r>
    </w:p>
    <w:p w:rsidR="00110E57" w:rsidRDefault="002C5682" w:rsidP="0060525E">
      <w:pPr>
        <w:spacing w:after="0"/>
        <w:jc w:val="both"/>
      </w:pPr>
      <w:r w:rsidRPr="002C5682">
        <w:t>Cette huile de transmission d'excellente qualité convient à toutes les boîtes de vitesses manuelles, ou presque, de voitures de tourisme. Elle convient tout particulièrement en remplacement des huiles d'origine OEM spécifiques et elle réduit la complexité et le stockage des huiles de boîte de vitesses. Testée dans des conditions strictes, cette huile satisfait aux exigences de performances générales de la plupart des constructeurs automobiles et des modèles, dans toutes les conditions météorologiques.</w:t>
      </w:r>
    </w:p>
    <w:p w:rsidR="00811079" w:rsidRPr="006716B2" w:rsidRDefault="00811079" w:rsidP="00A11E5B">
      <w:pPr>
        <w:spacing w:after="0"/>
        <w:rPr>
          <w:b/>
          <w:sz w:val="10"/>
          <w:szCs w:val="10"/>
        </w:rPr>
      </w:pPr>
    </w:p>
    <w:p w:rsidR="00A11E5B" w:rsidRDefault="00A11E5B" w:rsidP="00A11E5B">
      <w:pPr>
        <w:spacing w:after="0"/>
        <w:rPr>
          <w:b/>
          <w:sz w:val="28"/>
          <w:szCs w:val="28"/>
        </w:rPr>
      </w:pPr>
      <w:r w:rsidRPr="00A11E5B">
        <w:rPr>
          <w:b/>
          <w:sz w:val="28"/>
          <w:szCs w:val="28"/>
        </w:rPr>
        <w:t>Applications</w:t>
      </w:r>
    </w:p>
    <w:p w:rsidR="00A11E5B" w:rsidRDefault="002C5682" w:rsidP="0060525E">
      <w:pPr>
        <w:spacing w:after="0"/>
        <w:jc w:val="both"/>
      </w:pPr>
      <w:r w:rsidRPr="002C5682">
        <w:t>Testée dans des conditions strictes, cette huile satisfait aux exigences de performances générales de la plupart des marques et modèles, dans toutes les conditions météorologiques</w:t>
      </w:r>
      <w:r w:rsidR="00811079" w:rsidRPr="00811079">
        <w:t>.</w:t>
      </w:r>
    </w:p>
    <w:p w:rsidR="00811079" w:rsidRPr="006716B2" w:rsidRDefault="00811079" w:rsidP="00A11E5B">
      <w:pPr>
        <w:spacing w:after="0"/>
        <w:rPr>
          <w:sz w:val="10"/>
          <w:szCs w:val="10"/>
        </w:rPr>
      </w:pPr>
    </w:p>
    <w:p w:rsidR="00992016" w:rsidRDefault="00992016" w:rsidP="00992016">
      <w:pPr>
        <w:spacing w:after="0"/>
        <w:rPr>
          <w:b/>
          <w:sz w:val="28"/>
          <w:szCs w:val="28"/>
        </w:rPr>
      </w:pPr>
      <w:r>
        <w:rPr>
          <w:b/>
          <w:sz w:val="28"/>
          <w:szCs w:val="28"/>
        </w:rPr>
        <w:t>Fonctionnalités</w:t>
      </w:r>
    </w:p>
    <w:p w:rsidR="00811079" w:rsidRPr="00811079" w:rsidRDefault="002C5682" w:rsidP="00811079">
      <w:pPr>
        <w:spacing w:after="0"/>
      </w:pPr>
      <w:r w:rsidRPr="0060525E">
        <w:t xml:space="preserve">Propriétés </w:t>
      </w:r>
      <w:proofErr w:type="spellStart"/>
      <w:r w:rsidRPr="0060525E">
        <w:t>anti-friction</w:t>
      </w:r>
      <w:proofErr w:type="spellEnd"/>
      <w:r w:rsidRPr="0060525E">
        <w:t> : changement de vitesse très souple, sans vibrations.</w:t>
      </w:r>
      <w:r w:rsidRPr="0060525E">
        <w:br/>
        <w:t>Protection contre l'usure : durée de vie de la transmission considérablement prolongée.</w:t>
      </w:r>
      <w:r w:rsidRPr="0060525E">
        <w:br/>
        <w:t>Durée de vie de l'huile prolongée : résistance prouvée à la dégradation de l'huile</w:t>
      </w:r>
      <w:r w:rsidR="00811079" w:rsidRPr="00811079">
        <w:t>.</w:t>
      </w:r>
    </w:p>
    <w:p w:rsidR="00110E57" w:rsidRPr="006716B2" w:rsidRDefault="00110E57" w:rsidP="00992016">
      <w:pPr>
        <w:spacing w:after="0"/>
        <w:rPr>
          <w:sz w:val="10"/>
          <w:szCs w:val="10"/>
        </w:rPr>
      </w:pPr>
    </w:p>
    <w:p w:rsidR="00992016" w:rsidRDefault="00992016" w:rsidP="00992016">
      <w:pPr>
        <w:spacing w:after="0"/>
        <w:rPr>
          <w:b/>
          <w:sz w:val="28"/>
          <w:szCs w:val="28"/>
        </w:rPr>
      </w:pPr>
      <w:r>
        <w:rPr>
          <w:b/>
          <w:sz w:val="28"/>
          <w:szCs w:val="28"/>
        </w:rPr>
        <w:t>Performances</w:t>
      </w:r>
    </w:p>
    <w:p w:rsidR="00110E57" w:rsidRDefault="0060525E" w:rsidP="0060525E">
      <w:pPr>
        <w:spacing w:after="0"/>
        <w:jc w:val="both"/>
      </w:pPr>
      <w:r w:rsidRPr="0060525E">
        <w:t xml:space="preserve">L'ensemble d'additifs sélectionné est spécifiquement adapté pour offrir d'excellentes caractéristiques </w:t>
      </w:r>
      <w:proofErr w:type="spellStart"/>
      <w:proofErr w:type="gramStart"/>
      <w:r w:rsidRPr="0060525E">
        <w:t>anti-friction</w:t>
      </w:r>
      <w:proofErr w:type="spellEnd"/>
      <w:proofErr w:type="gramEnd"/>
      <w:r w:rsidRPr="0060525E">
        <w:t>, améliorer la protection contre l'usure et garantir un changement de vitesse souple. Huile très polyvalente, qui contribue activement à la durée de vie et aux performances de la transmission.</w:t>
      </w:r>
    </w:p>
    <w:p w:rsidR="00811079" w:rsidRPr="006716B2" w:rsidRDefault="00811079" w:rsidP="00992016">
      <w:pPr>
        <w:spacing w:after="0"/>
        <w:rPr>
          <w:sz w:val="10"/>
          <w:szCs w:val="10"/>
        </w:rPr>
      </w:pPr>
    </w:p>
    <w:p w:rsidR="00992016" w:rsidRDefault="00992016" w:rsidP="00992016">
      <w:pPr>
        <w:spacing w:after="0"/>
        <w:rPr>
          <w:b/>
          <w:sz w:val="28"/>
          <w:szCs w:val="28"/>
        </w:rPr>
      </w:pPr>
      <w:r>
        <w:rPr>
          <w:b/>
          <w:sz w:val="28"/>
          <w:szCs w:val="28"/>
        </w:rPr>
        <w:t>Niveau de Spécification</w:t>
      </w:r>
    </w:p>
    <w:p w:rsidR="0060525E" w:rsidRPr="0060525E" w:rsidRDefault="0060525E" w:rsidP="0060525E">
      <w:pPr>
        <w:shd w:val="clear" w:color="auto" w:fill="FFFFFF"/>
        <w:spacing w:after="0" w:line="240" w:lineRule="auto"/>
        <w:ind w:left="300"/>
        <w:rPr>
          <w:rFonts w:eastAsia="Times New Roman" w:cs="Arial"/>
          <w:bCs/>
          <w:color w:val="353635"/>
          <w:lang w:eastAsia="fr-FR"/>
        </w:rPr>
      </w:pPr>
      <w:r w:rsidRPr="0060525E">
        <w:rPr>
          <w:rFonts w:eastAsia="Times New Roman" w:cs="Arial"/>
          <w:bCs/>
          <w:color w:val="353635"/>
          <w:lang w:eastAsia="fr-FR"/>
        </w:rPr>
        <w:t>API: GL-4 +</w:t>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t>MB: 235.10</w:t>
      </w:r>
    </w:p>
    <w:p w:rsidR="0060525E" w:rsidRPr="0060525E" w:rsidRDefault="0060525E" w:rsidP="0060525E">
      <w:pPr>
        <w:shd w:val="clear" w:color="auto" w:fill="FFFFFF"/>
        <w:spacing w:after="0" w:line="240" w:lineRule="auto"/>
        <w:ind w:left="300"/>
        <w:rPr>
          <w:rFonts w:eastAsia="Times New Roman" w:cs="Arial"/>
          <w:bCs/>
          <w:color w:val="353635"/>
          <w:lang w:eastAsia="fr-FR"/>
        </w:rPr>
      </w:pPr>
      <w:r w:rsidRPr="0060525E">
        <w:rPr>
          <w:rFonts w:eastAsia="Times New Roman" w:cs="Arial"/>
          <w:bCs/>
          <w:color w:val="353635"/>
          <w:lang w:eastAsia="fr-FR"/>
        </w:rPr>
        <w:t>FIAT: 9.55550-MX3</w:t>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t>NISSAN: MT-XZ</w:t>
      </w:r>
    </w:p>
    <w:p w:rsidR="0060525E" w:rsidRPr="0060525E" w:rsidRDefault="0060525E" w:rsidP="0060525E">
      <w:pPr>
        <w:shd w:val="clear" w:color="auto" w:fill="FFFFFF"/>
        <w:spacing w:after="0" w:line="240" w:lineRule="auto"/>
        <w:ind w:left="300"/>
        <w:rPr>
          <w:rFonts w:eastAsia="Times New Roman" w:cs="Arial"/>
          <w:bCs/>
          <w:color w:val="353635"/>
          <w:lang w:eastAsia="fr-FR"/>
        </w:rPr>
      </w:pPr>
      <w:r w:rsidRPr="0060525E">
        <w:rPr>
          <w:rFonts w:eastAsia="Times New Roman" w:cs="Arial"/>
          <w:bCs/>
          <w:color w:val="353635"/>
          <w:lang w:eastAsia="fr-FR"/>
        </w:rPr>
        <w:t>FIAT: 9.55550-MZ1</w:t>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r>
      <w:r w:rsidRPr="0060525E">
        <w:rPr>
          <w:rFonts w:eastAsia="Times New Roman" w:cs="Arial"/>
          <w:bCs/>
          <w:color w:val="353635"/>
          <w:lang w:eastAsia="fr-FR"/>
        </w:rPr>
        <w:tab/>
        <w:t>PSA: 9730 A8</w:t>
      </w:r>
    </w:p>
    <w:p w:rsidR="0060525E" w:rsidRPr="006716B2" w:rsidRDefault="0060525E" w:rsidP="0060525E">
      <w:pPr>
        <w:shd w:val="clear" w:color="auto" w:fill="FFFFFF"/>
        <w:spacing w:after="0" w:line="240" w:lineRule="auto"/>
        <w:ind w:left="300"/>
        <w:rPr>
          <w:rFonts w:eastAsia="Times New Roman" w:cs="Arial"/>
          <w:bCs/>
          <w:color w:val="353635"/>
          <w:lang w:val="en-US" w:eastAsia="fr-FR"/>
        </w:rPr>
      </w:pPr>
      <w:r w:rsidRPr="006716B2">
        <w:rPr>
          <w:rFonts w:eastAsia="Times New Roman" w:cs="Arial"/>
          <w:bCs/>
          <w:color w:val="353635"/>
          <w:lang w:val="en-US" w:eastAsia="fr-FR"/>
        </w:rPr>
        <w:t>FORD: ESD-M2C186-A</w:t>
      </w:r>
      <w:r w:rsidRPr="006716B2">
        <w:rPr>
          <w:rFonts w:eastAsia="Times New Roman" w:cs="Arial"/>
          <w:bCs/>
          <w:color w:val="353635"/>
          <w:lang w:val="en-US" w:eastAsia="fr-FR"/>
        </w:rPr>
        <w:tab/>
      </w:r>
      <w:r w:rsidRPr="006716B2">
        <w:rPr>
          <w:rFonts w:eastAsia="Times New Roman" w:cs="Arial"/>
          <w:bCs/>
          <w:color w:val="353635"/>
          <w:lang w:val="en-US" w:eastAsia="fr-FR"/>
        </w:rPr>
        <w:tab/>
      </w:r>
      <w:r w:rsidRPr="006716B2">
        <w:rPr>
          <w:rFonts w:eastAsia="Times New Roman" w:cs="Arial"/>
          <w:bCs/>
          <w:color w:val="353635"/>
          <w:lang w:val="en-US" w:eastAsia="fr-FR"/>
        </w:rPr>
        <w:tab/>
      </w:r>
      <w:r w:rsidRPr="006716B2">
        <w:rPr>
          <w:rFonts w:eastAsia="Times New Roman" w:cs="Arial"/>
          <w:bCs/>
          <w:color w:val="353635"/>
          <w:lang w:val="en-US" w:eastAsia="fr-FR"/>
        </w:rPr>
        <w:tab/>
        <w:t>PSA: B71 2330</w:t>
      </w:r>
    </w:p>
    <w:p w:rsidR="0060525E" w:rsidRPr="0060525E" w:rsidRDefault="0060525E" w:rsidP="0060525E">
      <w:pPr>
        <w:shd w:val="clear" w:color="auto" w:fill="FFFFFF"/>
        <w:spacing w:after="0" w:line="240" w:lineRule="auto"/>
        <w:ind w:left="300"/>
        <w:rPr>
          <w:rFonts w:eastAsia="Times New Roman" w:cs="Arial"/>
          <w:bCs/>
          <w:color w:val="353635"/>
          <w:lang w:val="en-US" w:eastAsia="fr-FR"/>
        </w:rPr>
      </w:pPr>
      <w:r w:rsidRPr="0060525E">
        <w:rPr>
          <w:rFonts w:eastAsia="Times New Roman" w:cs="Arial"/>
          <w:bCs/>
          <w:color w:val="353635"/>
          <w:lang w:val="en-US" w:eastAsia="fr-FR"/>
        </w:rPr>
        <w:t>FORD: WSD-M2C200-D</w:t>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t>VOLVO: 97308</w:t>
      </w:r>
    </w:p>
    <w:p w:rsidR="0060525E" w:rsidRPr="0060525E" w:rsidRDefault="0060525E" w:rsidP="0060525E">
      <w:pPr>
        <w:shd w:val="clear" w:color="auto" w:fill="FFFFFF"/>
        <w:spacing w:after="0" w:line="240" w:lineRule="auto"/>
        <w:ind w:left="300"/>
        <w:rPr>
          <w:rFonts w:eastAsia="Times New Roman" w:cs="Arial"/>
          <w:bCs/>
          <w:color w:val="353635"/>
          <w:lang w:val="en-US" w:eastAsia="fr-FR"/>
        </w:rPr>
      </w:pPr>
      <w:r w:rsidRPr="0060525E">
        <w:rPr>
          <w:rFonts w:eastAsia="Times New Roman" w:cs="Arial"/>
          <w:bCs/>
          <w:color w:val="353635"/>
          <w:lang w:val="en-US" w:eastAsia="fr-FR"/>
        </w:rPr>
        <w:t>GM: 1940182</w:t>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716B2">
        <w:rPr>
          <w:rFonts w:eastAsia="Times New Roman" w:cs="Arial"/>
          <w:bCs/>
          <w:color w:val="353635"/>
          <w:lang w:val="en-US" w:eastAsia="fr-FR"/>
        </w:rPr>
        <w:t>VOLVO: 97309</w:t>
      </w:r>
    </w:p>
    <w:p w:rsidR="0060525E" w:rsidRPr="006716B2" w:rsidRDefault="0060525E" w:rsidP="0060525E">
      <w:pPr>
        <w:shd w:val="clear" w:color="auto" w:fill="FFFFFF"/>
        <w:spacing w:after="0" w:line="240" w:lineRule="auto"/>
        <w:ind w:left="300"/>
        <w:rPr>
          <w:rFonts w:eastAsia="Times New Roman" w:cs="Arial"/>
          <w:bCs/>
          <w:color w:val="353635"/>
          <w:lang w:val="en-US" w:eastAsia="fr-FR"/>
        </w:rPr>
      </w:pPr>
      <w:r w:rsidRPr="0060525E">
        <w:rPr>
          <w:rFonts w:eastAsia="Times New Roman" w:cs="Arial"/>
          <w:bCs/>
          <w:color w:val="353635"/>
          <w:lang w:val="en-US" w:eastAsia="fr-FR"/>
        </w:rPr>
        <w:t>GM: 1940768</w:t>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0525E">
        <w:rPr>
          <w:rFonts w:eastAsia="Times New Roman" w:cs="Arial"/>
          <w:bCs/>
          <w:color w:val="353635"/>
          <w:lang w:val="en-US" w:eastAsia="fr-FR"/>
        </w:rPr>
        <w:tab/>
      </w:r>
      <w:r w:rsidRPr="006716B2">
        <w:rPr>
          <w:rFonts w:eastAsia="Times New Roman" w:cs="Arial"/>
          <w:bCs/>
          <w:color w:val="353635"/>
          <w:lang w:val="en-US" w:eastAsia="fr-FR"/>
        </w:rPr>
        <w:t>VOLVO: 97310</w:t>
      </w:r>
    </w:p>
    <w:p w:rsidR="0060525E" w:rsidRDefault="0060525E" w:rsidP="006716B2">
      <w:pPr>
        <w:shd w:val="clear" w:color="auto" w:fill="FFFFFF"/>
        <w:spacing w:after="0" w:line="240" w:lineRule="auto"/>
        <w:ind w:left="301"/>
        <w:rPr>
          <w:rFonts w:eastAsia="Times New Roman" w:cs="Arial"/>
          <w:bCs/>
          <w:color w:val="353635"/>
          <w:lang w:val="en-US" w:eastAsia="fr-FR"/>
        </w:rPr>
      </w:pPr>
      <w:r w:rsidRPr="0060525E">
        <w:rPr>
          <w:rFonts w:eastAsia="Times New Roman" w:cs="Arial"/>
          <w:bCs/>
          <w:color w:val="353635"/>
          <w:lang w:val="en-US" w:eastAsia="fr-FR"/>
        </w:rPr>
        <w:t>HONDA: MTF 94</w:t>
      </w:r>
    </w:p>
    <w:p w:rsidR="006716B2" w:rsidRPr="006716B2" w:rsidRDefault="006716B2" w:rsidP="0060525E">
      <w:pPr>
        <w:shd w:val="clear" w:color="auto" w:fill="FFFFFF"/>
        <w:spacing w:after="0" w:line="240" w:lineRule="auto"/>
        <w:ind w:left="300"/>
        <w:rPr>
          <w:rFonts w:eastAsia="Times New Roman" w:cs="Arial"/>
          <w:bCs/>
          <w:color w:val="353635"/>
          <w:sz w:val="10"/>
          <w:szCs w:val="10"/>
          <w:lang w:val="en-US" w:eastAsia="fr-FR"/>
        </w:rPr>
      </w:pPr>
    </w:p>
    <w:p w:rsidR="006716B2" w:rsidRPr="006716B2" w:rsidRDefault="006716B2" w:rsidP="006716B2">
      <w:pPr>
        <w:spacing w:after="0"/>
        <w:rPr>
          <w:b/>
          <w:sz w:val="28"/>
          <w:szCs w:val="28"/>
        </w:rPr>
      </w:pPr>
      <w:r w:rsidRPr="006716B2">
        <w:rPr>
          <w:b/>
          <w:sz w:val="28"/>
          <w:szCs w:val="28"/>
        </w:rPr>
        <w:t>Caractéristiques Particulières</w:t>
      </w:r>
    </w:p>
    <w:p w:rsidR="006716B2" w:rsidRDefault="006716B2" w:rsidP="006716B2">
      <w:pPr>
        <w:spacing w:after="0" w:line="127" w:lineRule="exact"/>
        <w:rPr>
          <w:rFonts w:ascii="Times New Roman" w:eastAsia="Times New Roman" w:hAnsi="Times New Roman"/>
          <w:sz w:val="24"/>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940"/>
        <w:gridCol w:w="2420"/>
        <w:gridCol w:w="1340"/>
        <w:gridCol w:w="2440"/>
      </w:tblGrid>
      <w:tr w:rsidR="006716B2" w:rsidTr="0049049B">
        <w:trPr>
          <w:trHeight w:val="190"/>
        </w:trPr>
        <w:tc>
          <w:tcPr>
            <w:tcW w:w="2940" w:type="dxa"/>
            <w:shd w:val="clear" w:color="auto" w:fill="auto"/>
            <w:vAlign w:val="bottom"/>
          </w:tcPr>
          <w:p w:rsidR="006716B2" w:rsidRDefault="006716B2" w:rsidP="006716B2">
            <w:pPr>
              <w:spacing w:after="0" w:line="0" w:lineRule="atLeast"/>
              <w:rPr>
                <w:rFonts w:ascii="Arial" w:eastAsia="Arial" w:hAnsi="Arial"/>
                <w:color w:val="00000C"/>
                <w:sz w:val="16"/>
              </w:rPr>
            </w:pPr>
            <w:r>
              <w:rPr>
                <w:rFonts w:ascii="Arial" w:eastAsia="Arial" w:hAnsi="Arial"/>
                <w:color w:val="00000C"/>
                <w:sz w:val="16"/>
              </w:rPr>
              <w:t>Test</w:t>
            </w:r>
          </w:p>
        </w:tc>
        <w:tc>
          <w:tcPr>
            <w:tcW w:w="2420" w:type="dxa"/>
            <w:shd w:val="clear" w:color="auto" w:fill="auto"/>
            <w:vAlign w:val="bottom"/>
          </w:tcPr>
          <w:p w:rsidR="006716B2" w:rsidRDefault="006716B2" w:rsidP="006716B2">
            <w:pPr>
              <w:spacing w:after="0" w:line="0" w:lineRule="atLeast"/>
              <w:ind w:left="820"/>
              <w:rPr>
                <w:rFonts w:ascii="Arial" w:eastAsia="Arial" w:hAnsi="Arial"/>
                <w:color w:val="00000C"/>
                <w:sz w:val="16"/>
              </w:rPr>
            </w:pPr>
            <w:r>
              <w:rPr>
                <w:rFonts w:ascii="Arial" w:eastAsia="Arial" w:hAnsi="Arial"/>
                <w:color w:val="00000C"/>
                <w:sz w:val="16"/>
              </w:rPr>
              <w:t>Method</w:t>
            </w:r>
          </w:p>
        </w:tc>
        <w:tc>
          <w:tcPr>
            <w:tcW w:w="1340" w:type="dxa"/>
            <w:shd w:val="clear" w:color="auto" w:fill="auto"/>
            <w:vAlign w:val="bottom"/>
          </w:tcPr>
          <w:p w:rsidR="006716B2" w:rsidRDefault="006716B2" w:rsidP="006716B2">
            <w:pPr>
              <w:spacing w:after="0" w:line="0" w:lineRule="atLeast"/>
              <w:ind w:left="660"/>
              <w:rPr>
                <w:rFonts w:ascii="Arial" w:eastAsia="Arial" w:hAnsi="Arial"/>
                <w:color w:val="00000C"/>
                <w:sz w:val="16"/>
              </w:rPr>
            </w:pPr>
            <w:r>
              <w:rPr>
                <w:rFonts w:ascii="Arial" w:eastAsia="Arial" w:hAnsi="Arial"/>
                <w:color w:val="00000C"/>
                <w:sz w:val="16"/>
              </w:rPr>
              <w:t>Unit</w:t>
            </w:r>
          </w:p>
        </w:tc>
        <w:tc>
          <w:tcPr>
            <w:tcW w:w="2440" w:type="dxa"/>
            <w:shd w:val="clear" w:color="auto" w:fill="auto"/>
            <w:vAlign w:val="bottom"/>
          </w:tcPr>
          <w:p w:rsidR="006716B2" w:rsidRDefault="006716B2" w:rsidP="006716B2">
            <w:pPr>
              <w:spacing w:after="0" w:line="0" w:lineRule="atLeast"/>
              <w:ind w:left="220"/>
              <w:rPr>
                <w:rFonts w:ascii="Arial" w:eastAsia="Arial" w:hAnsi="Arial"/>
                <w:color w:val="00000C"/>
                <w:sz w:val="16"/>
              </w:rPr>
            </w:pPr>
            <w:proofErr w:type="spellStart"/>
            <w:r>
              <w:rPr>
                <w:rFonts w:ascii="Arial" w:eastAsia="Arial" w:hAnsi="Arial"/>
                <w:color w:val="00000C"/>
                <w:sz w:val="16"/>
              </w:rPr>
              <w:t>Average</w:t>
            </w:r>
            <w:proofErr w:type="spellEnd"/>
            <w:r>
              <w:rPr>
                <w:rFonts w:ascii="Arial" w:eastAsia="Arial" w:hAnsi="Arial"/>
                <w:color w:val="00000C"/>
                <w:sz w:val="16"/>
              </w:rPr>
              <w:t xml:space="preserve"> </w:t>
            </w:r>
            <w:proofErr w:type="spellStart"/>
            <w:r>
              <w:rPr>
                <w:rFonts w:ascii="Arial" w:eastAsia="Arial" w:hAnsi="Arial"/>
                <w:color w:val="00000C"/>
                <w:sz w:val="16"/>
              </w:rPr>
              <w:t>results</w:t>
            </w:r>
            <w:proofErr w:type="spellEnd"/>
          </w:p>
        </w:tc>
      </w:tr>
      <w:tr w:rsidR="006716B2" w:rsidTr="0049049B">
        <w:trPr>
          <w:trHeight w:val="70"/>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6"/>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6"/>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6"/>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6"/>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Densité à 15 °C</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D4052</w:t>
            </w:r>
          </w:p>
        </w:tc>
        <w:tc>
          <w:tcPr>
            <w:tcW w:w="1340" w:type="dxa"/>
            <w:shd w:val="clear" w:color="auto" w:fill="auto"/>
            <w:vAlign w:val="bottom"/>
          </w:tcPr>
          <w:p w:rsidR="006716B2" w:rsidRDefault="006716B2" w:rsidP="006716B2">
            <w:pPr>
              <w:spacing w:after="0" w:line="0" w:lineRule="atLeast"/>
              <w:ind w:left="660"/>
              <w:rPr>
                <w:rFonts w:ascii="Arial" w:eastAsia="Arial" w:hAnsi="Arial"/>
                <w:sz w:val="16"/>
              </w:rPr>
            </w:pPr>
            <w:r>
              <w:rPr>
                <w:rFonts w:ascii="Arial" w:eastAsia="Arial" w:hAnsi="Arial"/>
                <w:sz w:val="16"/>
              </w:rPr>
              <w:t>g/ml</w:t>
            </w:r>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0.871</w:t>
            </w:r>
          </w:p>
        </w:tc>
      </w:tr>
      <w:tr w:rsidR="006716B2" w:rsidTr="0049049B">
        <w:trPr>
          <w:trHeight w:val="37"/>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Viscosité cinématique à 40 °C</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D445</w:t>
            </w:r>
          </w:p>
        </w:tc>
        <w:tc>
          <w:tcPr>
            <w:tcW w:w="1340" w:type="dxa"/>
            <w:shd w:val="clear" w:color="auto" w:fill="auto"/>
            <w:vAlign w:val="bottom"/>
          </w:tcPr>
          <w:p w:rsidR="006716B2" w:rsidRDefault="006716B2" w:rsidP="006716B2">
            <w:pPr>
              <w:spacing w:after="0" w:line="0" w:lineRule="atLeast"/>
              <w:ind w:left="660"/>
              <w:rPr>
                <w:rFonts w:ascii="Arial" w:eastAsia="Arial" w:hAnsi="Arial"/>
                <w:sz w:val="16"/>
              </w:rPr>
            </w:pPr>
            <w:r>
              <w:rPr>
                <w:rFonts w:ascii="Arial" w:eastAsia="Arial" w:hAnsi="Arial"/>
                <w:sz w:val="16"/>
              </w:rPr>
              <w:t>mm²/s</w:t>
            </w:r>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45.8</w:t>
            </w:r>
          </w:p>
        </w:tc>
      </w:tr>
      <w:tr w:rsidR="006716B2" w:rsidTr="0049049B">
        <w:trPr>
          <w:trHeight w:val="37"/>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Viscosité cinématique à 100°C</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D445</w:t>
            </w:r>
          </w:p>
        </w:tc>
        <w:tc>
          <w:tcPr>
            <w:tcW w:w="1340" w:type="dxa"/>
            <w:shd w:val="clear" w:color="auto" w:fill="auto"/>
            <w:vAlign w:val="bottom"/>
          </w:tcPr>
          <w:p w:rsidR="006716B2" w:rsidRDefault="006716B2" w:rsidP="006716B2">
            <w:pPr>
              <w:spacing w:after="0" w:line="0" w:lineRule="atLeast"/>
              <w:ind w:left="660"/>
              <w:rPr>
                <w:rFonts w:ascii="Arial" w:eastAsia="Arial" w:hAnsi="Arial"/>
                <w:sz w:val="16"/>
              </w:rPr>
            </w:pPr>
            <w:r>
              <w:rPr>
                <w:rFonts w:ascii="Arial" w:eastAsia="Arial" w:hAnsi="Arial"/>
                <w:sz w:val="16"/>
              </w:rPr>
              <w:t>mm²/s</w:t>
            </w:r>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9.1</w:t>
            </w:r>
          </w:p>
        </w:tc>
      </w:tr>
      <w:tr w:rsidR="006716B2" w:rsidTr="0049049B">
        <w:trPr>
          <w:trHeight w:val="37"/>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Indice de viscosité</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D2270</w:t>
            </w:r>
          </w:p>
        </w:tc>
        <w:tc>
          <w:tcPr>
            <w:tcW w:w="1340" w:type="dxa"/>
            <w:shd w:val="clear" w:color="auto" w:fill="auto"/>
            <w:vAlign w:val="bottom"/>
          </w:tcPr>
          <w:p w:rsidR="006716B2" w:rsidRDefault="006716B2" w:rsidP="006716B2">
            <w:pPr>
              <w:spacing w:after="0" w:line="0" w:lineRule="atLeast"/>
              <w:rPr>
                <w:rFonts w:ascii="Times New Roman" w:eastAsia="Times New Roman" w:hAnsi="Times New Roman"/>
              </w:rPr>
            </w:pPr>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185</w:t>
            </w:r>
          </w:p>
        </w:tc>
      </w:tr>
      <w:tr w:rsidR="006716B2" w:rsidTr="0049049B">
        <w:trPr>
          <w:trHeight w:val="37"/>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Point d’écoulement</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D6892</w:t>
            </w:r>
          </w:p>
        </w:tc>
        <w:tc>
          <w:tcPr>
            <w:tcW w:w="1340" w:type="dxa"/>
            <w:shd w:val="clear" w:color="auto" w:fill="auto"/>
            <w:vAlign w:val="bottom"/>
          </w:tcPr>
          <w:p w:rsidR="006716B2" w:rsidRDefault="006716B2" w:rsidP="006716B2">
            <w:pPr>
              <w:spacing w:after="0" w:line="0" w:lineRule="atLeast"/>
              <w:ind w:left="660"/>
              <w:rPr>
                <w:rFonts w:ascii="Arial" w:eastAsia="Arial" w:hAnsi="Arial"/>
                <w:sz w:val="16"/>
              </w:rPr>
            </w:pPr>
            <w:r>
              <w:rPr>
                <w:rFonts w:ascii="Arial" w:eastAsia="Arial" w:hAnsi="Arial"/>
                <w:sz w:val="16"/>
              </w:rPr>
              <w:t>°C</w:t>
            </w:r>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-45</w:t>
            </w:r>
          </w:p>
        </w:tc>
      </w:tr>
      <w:tr w:rsidR="006716B2" w:rsidTr="0049049B">
        <w:trPr>
          <w:trHeight w:val="37"/>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 xml:space="preserve">Viscosité </w:t>
            </w:r>
            <w:proofErr w:type="spellStart"/>
            <w:r>
              <w:rPr>
                <w:rFonts w:ascii="Arial" w:eastAsia="Arial" w:hAnsi="Arial"/>
                <w:sz w:val="16"/>
              </w:rPr>
              <w:t>Brookfield</w:t>
            </w:r>
            <w:proofErr w:type="spellEnd"/>
            <w:r>
              <w:rPr>
                <w:rFonts w:ascii="Arial" w:eastAsia="Arial" w:hAnsi="Arial"/>
                <w:sz w:val="16"/>
              </w:rPr>
              <w:t xml:space="preserve"> à -40°C</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D2983</w:t>
            </w:r>
          </w:p>
        </w:tc>
        <w:tc>
          <w:tcPr>
            <w:tcW w:w="1340" w:type="dxa"/>
            <w:shd w:val="clear" w:color="auto" w:fill="auto"/>
            <w:vAlign w:val="bottom"/>
          </w:tcPr>
          <w:p w:rsidR="006716B2" w:rsidRDefault="006716B2" w:rsidP="006716B2">
            <w:pPr>
              <w:spacing w:after="0" w:line="0" w:lineRule="atLeast"/>
              <w:ind w:left="660"/>
              <w:rPr>
                <w:rFonts w:ascii="Arial" w:eastAsia="Arial" w:hAnsi="Arial"/>
                <w:sz w:val="16"/>
              </w:rPr>
            </w:pPr>
            <w:proofErr w:type="spellStart"/>
            <w:r>
              <w:rPr>
                <w:rFonts w:ascii="Arial" w:eastAsia="Arial" w:hAnsi="Arial"/>
                <w:sz w:val="16"/>
              </w:rPr>
              <w:t>mPa.s</w:t>
            </w:r>
            <w:proofErr w:type="spellEnd"/>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142.000</w:t>
            </w:r>
          </w:p>
        </w:tc>
      </w:tr>
      <w:tr w:rsidR="006716B2" w:rsidTr="0049049B">
        <w:trPr>
          <w:trHeight w:val="37"/>
        </w:trPr>
        <w:tc>
          <w:tcPr>
            <w:tcW w:w="29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13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c>
          <w:tcPr>
            <w:tcW w:w="2440" w:type="dxa"/>
            <w:tcBorders>
              <w:bottom w:val="single" w:sz="8" w:space="0" w:color="808080"/>
            </w:tcBorders>
            <w:shd w:val="clear" w:color="auto" w:fill="auto"/>
            <w:vAlign w:val="bottom"/>
          </w:tcPr>
          <w:p w:rsidR="006716B2" w:rsidRDefault="006716B2" w:rsidP="006716B2">
            <w:pPr>
              <w:spacing w:after="0" w:line="0" w:lineRule="atLeast"/>
              <w:rPr>
                <w:rFonts w:ascii="Times New Roman" w:eastAsia="Times New Roman" w:hAnsi="Times New Roman"/>
                <w:sz w:val="3"/>
              </w:rPr>
            </w:pPr>
          </w:p>
        </w:tc>
      </w:tr>
      <w:tr w:rsidR="006716B2" w:rsidTr="0049049B">
        <w:trPr>
          <w:trHeight w:val="233"/>
        </w:trPr>
        <w:tc>
          <w:tcPr>
            <w:tcW w:w="2940" w:type="dxa"/>
            <w:shd w:val="clear" w:color="auto" w:fill="auto"/>
            <w:vAlign w:val="bottom"/>
          </w:tcPr>
          <w:p w:rsidR="006716B2" w:rsidRDefault="006716B2" w:rsidP="006716B2">
            <w:pPr>
              <w:spacing w:after="0" w:line="0" w:lineRule="atLeast"/>
              <w:rPr>
                <w:rFonts w:ascii="Arial" w:eastAsia="Arial" w:hAnsi="Arial"/>
                <w:sz w:val="16"/>
              </w:rPr>
            </w:pPr>
            <w:r>
              <w:rPr>
                <w:rFonts w:ascii="Arial" w:eastAsia="Arial" w:hAnsi="Arial"/>
                <w:sz w:val="16"/>
              </w:rPr>
              <w:t>Point d’éclair COC</w:t>
            </w:r>
          </w:p>
        </w:tc>
        <w:tc>
          <w:tcPr>
            <w:tcW w:w="2420" w:type="dxa"/>
            <w:shd w:val="clear" w:color="auto" w:fill="auto"/>
            <w:vAlign w:val="bottom"/>
          </w:tcPr>
          <w:p w:rsidR="006716B2" w:rsidRDefault="006716B2" w:rsidP="006716B2">
            <w:pPr>
              <w:spacing w:after="0" w:line="0" w:lineRule="atLeast"/>
              <w:ind w:left="820"/>
              <w:rPr>
                <w:rFonts w:ascii="Arial" w:eastAsia="Arial" w:hAnsi="Arial"/>
                <w:sz w:val="16"/>
              </w:rPr>
            </w:pPr>
            <w:r>
              <w:rPr>
                <w:rFonts w:ascii="Arial" w:eastAsia="Arial" w:hAnsi="Arial"/>
                <w:sz w:val="16"/>
              </w:rPr>
              <w:t>ASTM D92</w:t>
            </w:r>
          </w:p>
        </w:tc>
        <w:tc>
          <w:tcPr>
            <w:tcW w:w="1340" w:type="dxa"/>
            <w:shd w:val="clear" w:color="auto" w:fill="auto"/>
            <w:vAlign w:val="bottom"/>
          </w:tcPr>
          <w:p w:rsidR="006716B2" w:rsidRDefault="006716B2" w:rsidP="006716B2">
            <w:pPr>
              <w:spacing w:after="0" w:line="0" w:lineRule="atLeast"/>
              <w:ind w:left="660"/>
              <w:rPr>
                <w:rFonts w:ascii="Arial" w:eastAsia="Arial" w:hAnsi="Arial"/>
                <w:sz w:val="16"/>
              </w:rPr>
            </w:pPr>
            <w:r>
              <w:rPr>
                <w:rFonts w:ascii="Arial" w:eastAsia="Arial" w:hAnsi="Arial"/>
                <w:sz w:val="16"/>
              </w:rPr>
              <w:t>°C</w:t>
            </w:r>
          </w:p>
        </w:tc>
        <w:tc>
          <w:tcPr>
            <w:tcW w:w="2440" w:type="dxa"/>
            <w:shd w:val="clear" w:color="auto" w:fill="auto"/>
            <w:vAlign w:val="bottom"/>
          </w:tcPr>
          <w:p w:rsidR="006716B2" w:rsidRDefault="006716B2" w:rsidP="006716B2">
            <w:pPr>
              <w:spacing w:after="0" w:line="0" w:lineRule="atLeast"/>
              <w:ind w:left="220"/>
              <w:rPr>
                <w:rFonts w:ascii="Arial" w:eastAsia="Arial" w:hAnsi="Arial"/>
                <w:sz w:val="16"/>
              </w:rPr>
            </w:pPr>
            <w:r>
              <w:rPr>
                <w:rFonts w:ascii="Arial" w:eastAsia="Arial" w:hAnsi="Arial"/>
                <w:sz w:val="16"/>
              </w:rPr>
              <w:t>205</w:t>
            </w:r>
          </w:p>
        </w:tc>
      </w:tr>
    </w:tbl>
    <w:p w:rsidR="0060525E" w:rsidRPr="0060525E" w:rsidRDefault="0060525E" w:rsidP="00992016">
      <w:pPr>
        <w:spacing w:after="0"/>
        <w:rPr>
          <w:b/>
          <w:lang w:val="en-US"/>
        </w:rPr>
      </w:pPr>
    </w:p>
    <w:sectPr w:rsidR="0060525E" w:rsidRPr="0060525E" w:rsidSect="0061789E">
      <w:headerReference w:type="default" r:id="rId9"/>
      <w:footerReference w:type="default" r:id="rId10"/>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60" w:rsidRDefault="00DD2460" w:rsidP="0061789E">
      <w:pPr>
        <w:spacing w:after="0" w:line="240" w:lineRule="auto"/>
      </w:pPr>
      <w:r>
        <w:separator/>
      </w:r>
    </w:p>
  </w:endnote>
  <w:endnote w:type="continuationSeparator" w:id="0">
    <w:p w:rsidR="00DD2460" w:rsidRDefault="00DD2460"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2" w:rsidRDefault="0061789E" w:rsidP="00B27A72">
    <w:pPr>
      <w:pStyle w:val="Pieddepage"/>
      <w:jc w:val="center"/>
    </w:pPr>
    <w:r>
      <w:t xml:space="preserve">Bret </w:t>
    </w:r>
    <w:proofErr w:type="spellStart"/>
    <w:r>
      <w:t>Oil</w:t>
    </w:r>
    <w:proofErr w:type="spellEnd"/>
    <w:r>
      <w:t xml:space="preserve"> </w:t>
    </w:r>
    <w:r w:rsidR="00B27A72">
      <w:t>- BP 60021 - 71326 CHALON-SUR-SAÔNE</w:t>
    </w:r>
  </w:p>
  <w:p w:rsidR="0061789E" w:rsidRDefault="00B27A72" w:rsidP="00B27A72">
    <w:pPr>
      <w:pStyle w:val="Pieddepage"/>
      <w:jc w:val="center"/>
    </w:pPr>
    <w:r>
      <w:t>Tel 06 18 47 95 20</w:t>
    </w:r>
  </w:p>
  <w:p w:rsidR="0061789E" w:rsidRDefault="0061789E" w:rsidP="0061789E">
    <w:pPr>
      <w:pStyle w:val="Pieddepage"/>
      <w:jc w:val="right"/>
    </w:pPr>
    <w:r>
      <w:t xml:space="preserve">Mise à jour </w:t>
    </w:r>
    <w:r w:rsidR="00B27A72">
      <w:t>Dec</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60" w:rsidRDefault="00DD2460" w:rsidP="0061789E">
      <w:pPr>
        <w:spacing w:after="0" w:line="240" w:lineRule="auto"/>
      </w:pPr>
      <w:r>
        <w:separator/>
      </w:r>
    </w:p>
  </w:footnote>
  <w:footnote w:type="continuationSeparator" w:id="0">
    <w:p w:rsidR="00DD2460" w:rsidRDefault="00DD2460"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14:anchorId="49D66C5D" wp14:editId="4208039A">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B01"/>
    <w:multiLevelType w:val="multilevel"/>
    <w:tmpl w:val="2AF6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4EC7"/>
    <w:multiLevelType w:val="multilevel"/>
    <w:tmpl w:val="C57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C17773"/>
    <w:multiLevelType w:val="multilevel"/>
    <w:tmpl w:val="7F9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2D32E1"/>
    <w:multiLevelType w:val="multilevel"/>
    <w:tmpl w:val="283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D64FC7"/>
    <w:multiLevelType w:val="multilevel"/>
    <w:tmpl w:val="A67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0832E2"/>
    <w:multiLevelType w:val="multilevel"/>
    <w:tmpl w:val="A2E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86A51"/>
    <w:multiLevelType w:val="multilevel"/>
    <w:tmpl w:val="DEFA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CB6C52"/>
    <w:multiLevelType w:val="multilevel"/>
    <w:tmpl w:val="C75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FA5799"/>
    <w:multiLevelType w:val="multilevel"/>
    <w:tmpl w:val="C04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744D0"/>
    <w:multiLevelType w:val="multilevel"/>
    <w:tmpl w:val="415E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AD5035"/>
    <w:multiLevelType w:val="multilevel"/>
    <w:tmpl w:val="72A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30"/>
  </w:num>
  <w:num w:numId="4">
    <w:abstractNumId w:val="29"/>
  </w:num>
  <w:num w:numId="5">
    <w:abstractNumId w:val="10"/>
  </w:num>
  <w:num w:numId="6">
    <w:abstractNumId w:val="23"/>
  </w:num>
  <w:num w:numId="7">
    <w:abstractNumId w:val="25"/>
  </w:num>
  <w:num w:numId="8">
    <w:abstractNumId w:val="2"/>
  </w:num>
  <w:num w:numId="9">
    <w:abstractNumId w:val="8"/>
  </w:num>
  <w:num w:numId="10">
    <w:abstractNumId w:val="5"/>
  </w:num>
  <w:num w:numId="11">
    <w:abstractNumId w:val="24"/>
  </w:num>
  <w:num w:numId="12">
    <w:abstractNumId w:val="22"/>
  </w:num>
  <w:num w:numId="13">
    <w:abstractNumId w:val="4"/>
  </w:num>
  <w:num w:numId="14">
    <w:abstractNumId w:val="16"/>
  </w:num>
  <w:num w:numId="15">
    <w:abstractNumId w:val="19"/>
  </w:num>
  <w:num w:numId="16">
    <w:abstractNumId w:val="18"/>
  </w:num>
  <w:num w:numId="17">
    <w:abstractNumId w:val="26"/>
  </w:num>
  <w:num w:numId="18">
    <w:abstractNumId w:val="15"/>
  </w:num>
  <w:num w:numId="19">
    <w:abstractNumId w:val="28"/>
  </w:num>
  <w:num w:numId="20">
    <w:abstractNumId w:val="12"/>
  </w:num>
  <w:num w:numId="21">
    <w:abstractNumId w:val="13"/>
  </w:num>
  <w:num w:numId="22">
    <w:abstractNumId w:val="27"/>
  </w:num>
  <w:num w:numId="23">
    <w:abstractNumId w:val="20"/>
  </w:num>
  <w:num w:numId="24">
    <w:abstractNumId w:val="7"/>
  </w:num>
  <w:num w:numId="25">
    <w:abstractNumId w:val="11"/>
  </w:num>
  <w:num w:numId="26">
    <w:abstractNumId w:val="21"/>
  </w:num>
  <w:num w:numId="27">
    <w:abstractNumId w:val="3"/>
  </w:num>
  <w:num w:numId="28">
    <w:abstractNumId w:val="0"/>
  </w:num>
  <w:num w:numId="29">
    <w:abstractNumId w:val="14"/>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E"/>
    <w:rsid w:val="00001512"/>
    <w:rsid w:val="00013A91"/>
    <w:rsid w:val="00031A41"/>
    <w:rsid w:val="000534C5"/>
    <w:rsid w:val="00110E57"/>
    <w:rsid w:val="00197BEC"/>
    <w:rsid w:val="001C10A9"/>
    <w:rsid w:val="001D2AA2"/>
    <w:rsid w:val="002C5682"/>
    <w:rsid w:val="003F7870"/>
    <w:rsid w:val="00462A57"/>
    <w:rsid w:val="00483A00"/>
    <w:rsid w:val="004D6E2A"/>
    <w:rsid w:val="00510EC2"/>
    <w:rsid w:val="00544B4D"/>
    <w:rsid w:val="0057373F"/>
    <w:rsid w:val="0060525E"/>
    <w:rsid w:val="00614707"/>
    <w:rsid w:val="0061789E"/>
    <w:rsid w:val="00620A93"/>
    <w:rsid w:val="006301C4"/>
    <w:rsid w:val="006716B2"/>
    <w:rsid w:val="006854B1"/>
    <w:rsid w:val="00783CA9"/>
    <w:rsid w:val="0079325A"/>
    <w:rsid w:val="00797F6A"/>
    <w:rsid w:val="00811079"/>
    <w:rsid w:val="00813F18"/>
    <w:rsid w:val="0081608F"/>
    <w:rsid w:val="00890745"/>
    <w:rsid w:val="008A725B"/>
    <w:rsid w:val="008F7A86"/>
    <w:rsid w:val="00911296"/>
    <w:rsid w:val="00960987"/>
    <w:rsid w:val="00964BF7"/>
    <w:rsid w:val="00992016"/>
    <w:rsid w:val="00992632"/>
    <w:rsid w:val="009A42B5"/>
    <w:rsid w:val="009C2B9E"/>
    <w:rsid w:val="00A11E5B"/>
    <w:rsid w:val="00B27A72"/>
    <w:rsid w:val="00B72806"/>
    <w:rsid w:val="00BD7D28"/>
    <w:rsid w:val="00C050F2"/>
    <w:rsid w:val="00C15050"/>
    <w:rsid w:val="00C21946"/>
    <w:rsid w:val="00C27466"/>
    <w:rsid w:val="00C74FF2"/>
    <w:rsid w:val="00CF2EA3"/>
    <w:rsid w:val="00D751C2"/>
    <w:rsid w:val="00DD2460"/>
    <w:rsid w:val="00DE052F"/>
    <w:rsid w:val="00E64D41"/>
    <w:rsid w:val="00E92F39"/>
    <w:rsid w:val="00EC308C"/>
    <w:rsid w:val="00F31382"/>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07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07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81">
      <w:bodyDiv w:val="1"/>
      <w:marLeft w:val="0"/>
      <w:marRight w:val="0"/>
      <w:marTop w:val="0"/>
      <w:marBottom w:val="0"/>
      <w:divBdr>
        <w:top w:val="none" w:sz="0" w:space="0" w:color="auto"/>
        <w:left w:val="none" w:sz="0" w:space="0" w:color="auto"/>
        <w:bottom w:val="none" w:sz="0" w:space="0" w:color="auto"/>
        <w:right w:val="none" w:sz="0" w:space="0" w:color="auto"/>
      </w:divBdr>
    </w:div>
    <w:div w:id="290210656">
      <w:bodyDiv w:val="1"/>
      <w:marLeft w:val="0"/>
      <w:marRight w:val="0"/>
      <w:marTop w:val="0"/>
      <w:marBottom w:val="0"/>
      <w:divBdr>
        <w:top w:val="none" w:sz="0" w:space="0" w:color="auto"/>
        <w:left w:val="none" w:sz="0" w:space="0" w:color="auto"/>
        <w:bottom w:val="none" w:sz="0" w:space="0" w:color="auto"/>
        <w:right w:val="none" w:sz="0" w:space="0" w:color="auto"/>
      </w:divBdr>
    </w:div>
    <w:div w:id="386299393">
      <w:bodyDiv w:val="1"/>
      <w:marLeft w:val="0"/>
      <w:marRight w:val="0"/>
      <w:marTop w:val="0"/>
      <w:marBottom w:val="0"/>
      <w:divBdr>
        <w:top w:val="none" w:sz="0" w:space="0" w:color="auto"/>
        <w:left w:val="none" w:sz="0" w:space="0" w:color="auto"/>
        <w:bottom w:val="none" w:sz="0" w:space="0" w:color="auto"/>
        <w:right w:val="none" w:sz="0" w:space="0" w:color="auto"/>
      </w:divBdr>
    </w:div>
    <w:div w:id="448818287">
      <w:bodyDiv w:val="1"/>
      <w:marLeft w:val="0"/>
      <w:marRight w:val="0"/>
      <w:marTop w:val="0"/>
      <w:marBottom w:val="0"/>
      <w:divBdr>
        <w:top w:val="none" w:sz="0" w:space="0" w:color="auto"/>
        <w:left w:val="none" w:sz="0" w:space="0" w:color="auto"/>
        <w:bottom w:val="none" w:sz="0" w:space="0" w:color="auto"/>
        <w:right w:val="none" w:sz="0" w:space="0" w:color="auto"/>
      </w:divBdr>
    </w:div>
    <w:div w:id="481391061">
      <w:bodyDiv w:val="1"/>
      <w:marLeft w:val="0"/>
      <w:marRight w:val="0"/>
      <w:marTop w:val="0"/>
      <w:marBottom w:val="0"/>
      <w:divBdr>
        <w:top w:val="none" w:sz="0" w:space="0" w:color="auto"/>
        <w:left w:val="none" w:sz="0" w:space="0" w:color="auto"/>
        <w:bottom w:val="none" w:sz="0" w:space="0" w:color="auto"/>
        <w:right w:val="none" w:sz="0" w:space="0" w:color="auto"/>
      </w:divBdr>
    </w:div>
    <w:div w:id="486282968">
      <w:bodyDiv w:val="1"/>
      <w:marLeft w:val="0"/>
      <w:marRight w:val="0"/>
      <w:marTop w:val="0"/>
      <w:marBottom w:val="0"/>
      <w:divBdr>
        <w:top w:val="none" w:sz="0" w:space="0" w:color="auto"/>
        <w:left w:val="none" w:sz="0" w:space="0" w:color="auto"/>
        <w:bottom w:val="none" w:sz="0" w:space="0" w:color="auto"/>
        <w:right w:val="none" w:sz="0" w:space="0" w:color="auto"/>
      </w:divBdr>
    </w:div>
    <w:div w:id="626087733">
      <w:bodyDiv w:val="1"/>
      <w:marLeft w:val="0"/>
      <w:marRight w:val="0"/>
      <w:marTop w:val="0"/>
      <w:marBottom w:val="0"/>
      <w:divBdr>
        <w:top w:val="none" w:sz="0" w:space="0" w:color="auto"/>
        <w:left w:val="none" w:sz="0" w:space="0" w:color="auto"/>
        <w:bottom w:val="none" w:sz="0" w:space="0" w:color="auto"/>
        <w:right w:val="none" w:sz="0" w:space="0" w:color="auto"/>
      </w:divBdr>
    </w:div>
    <w:div w:id="1092511665">
      <w:bodyDiv w:val="1"/>
      <w:marLeft w:val="0"/>
      <w:marRight w:val="0"/>
      <w:marTop w:val="0"/>
      <w:marBottom w:val="0"/>
      <w:divBdr>
        <w:top w:val="none" w:sz="0" w:space="0" w:color="auto"/>
        <w:left w:val="none" w:sz="0" w:space="0" w:color="auto"/>
        <w:bottom w:val="none" w:sz="0" w:space="0" w:color="auto"/>
        <w:right w:val="none" w:sz="0" w:space="0" w:color="auto"/>
      </w:divBdr>
    </w:div>
    <w:div w:id="1329988309">
      <w:bodyDiv w:val="1"/>
      <w:marLeft w:val="0"/>
      <w:marRight w:val="0"/>
      <w:marTop w:val="0"/>
      <w:marBottom w:val="0"/>
      <w:divBdr>
        <w:top w:val="none" w:sz="0" w:space="0" w:color="auto"/>
        <w:left w:val="none" w:sz="0" w:space="0" w:color="auto"/>
        <w:bottom w:val="none" w:sz="0" w:space="0" w:color="auto"/>
        <w:right w:val="none" w:sz="0" w:space="0" w:color="auto"/>
      </w:divBdr>
    </w:div>
    <w:div w:id="1540585315">
      <w:bodyDiv w:val="1"/>
      <w:marLeft w:val="0"/>
      <w:marRight w:val="0"/>
      <w:marTop w:val="0"/>
      <w:marBottom w:val="0"/>
      <w:divBdr>
        <w:top w:val="none" w:sz="0" w:space="0" w:color="auto"/>
        <w:left w:val="none" w:sz="0" w:space="0" w:color="auto"/>
        <w:bottom w:val="none" w:sz="0" w:space="0" w:color="auto"/>
        <w:right w:val="none" w:sz="0" w:space="0" w:color="auto"/>
      </w:divBdr>
    </w:div>
    <w:div w:id="1938440094">
      <w:bodyDiv w:val="1"/>
      <w:marLeft w:val="0"/>
      <w:marRight w:val="0"/>
      <w:marTop w:val="0"/>
      <w:marBottom w:val="0"/>
      <w:divBdr>
        <w:top w:val="none" w:sz="0" w:space="0" w:color="auto"/>
        <w:left w:val="none" w:sz="0" w:space="0" w:color="auto"/>
        <w:bottom w:val="none" w:sz="0" w:space="0" w:color="auto"/>
        <w:right w:val="none" w:sz="0" w:space="0" w:color="auto"/>
      </w:divBdr>
      <w:divsChild>
        <w:div w:id="417941465">
          <w:marLeft w:val="0"/>
          <w:marRight w:val="0"/>
          <w:marTop w:val="0"/>
          <w:marBottom w:val="0"/>
          <w:divBdr>
            <w:top w:val="none" w:sz="0" w:space="0" w:color="auto"/>
            <w:left w:val="none" w:sz="0" w:space="0" w:color="auto"/>
            <w:bottom w:val="none" w:sz="0" w:space="0" w:color="auto"/>
            <w:right w:val="none" w:sz="0" w:space="0" w:color="auto"/>
          </w:divBdr>
          <w:divsChild>
            <w:div w:id="1790661087">
              <w:marLeft w:val="0"/>
              <w:marRight w:val="150"/>
              <w:marTop w:val="0"/>
              <w:marBottom w:val="0"/>
              <w:divBdr>
                <w:top w:val="none" w:sz="0" w:space="0" w:color="auto"/>
                <w:left w:val="none" w:sz="0" w:space="0" w:color="auto"/>
                <w:bottom w:val="none" w:sz="0" w:space="0" w:color="auto"/>
                <w:right w:val="none" w:sz="0" w:space="0" w:color="auto"/>
              </w:divBdr>
            </w:div>
            <w:div w:id="9600396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1416849">
      <w:bodyDiv w:val="1"/>
      <w:marLeft w:val="0"/>
      <w:marRight w:val="0"/>
      <w:marTop w:val="0"/>
      <w:marBottom w:val="0"/>
      <w:divBdr>
        <w:top w:val="none" w:sz="0" w:space="0" w:color="auto"/>
        <w:left w:val="none" w:sz="0" w:space="0" w:color="auto"/>
        <w:bottom w:val="none" w:sz="0" w:space="0" w:color="auto"/>
        <w:right w:val="none" w:sz="0" w:space="0" w:color="auto"/>
      </w:divBdr>
    </w:div>
    <w:div w:id="21299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210B-24C8-4D84-BE9D-1C50AF9D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VOUS</cp:lastModifiedBy>
  <cp:revision>3</cp:revision>
  <dcterms:created xsi:type="dcterms:W3CDTF">2018-12-11T15:13:00Z</dcterms:created>
  <dcterms:modified xsi:type="dcterms:W3CDTF">2018-12-14T16:40:00Z</dcterms:modified>
</cp:coreProperties>
</file>